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>
        <w:rPr>
          <w:rFonts w:ascii="PT Astra Serif" w:hAnsi="PT Astra Serif" w:cs="Times New Roman"/>
          <w:b/>
          <w:sz w:val="28"/>
          <w:szCs w:val="28"/>
        </w:rPr>
        <w:t xml:space="preserve">РЕГИОНАЛЬНЫХ </w:t>
      </w:r>
      <w:r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УДМУРТСК</w:t>
      </w:r>
      <w:r>
        <w:rPr>
          <w:rFonts w:ascii="PT Astra Serif" w:hAnsi="PT Astra Serif" w:cs="Times New Roman"/>
          <w:b/>
          <w:sz w:val="28"/>
          <w:szCs w:val="28"/>
        </w:rPr>
        <w:t xml:space="preserve">ОЙ</w:t>
      </w:r>
      <w:r>
        <w:rPr>
          <w:rFonts w:ascii="PT Astra Serif" w:hAnsi="PT Astra Serif" w:cs="Times New Roman"/>
          <w:b/>
          <w:sz w:val="28"/>
          <w:szCs w:val="28"/>
        </w:rPr>
        <w:t xml:space="preserve"> РЕСПУБЛИКИ ВОЕННОСЛУЖАЩИМ</w:t>
      </w:r>
      <w:r>
        <w:rPr>
          <w:rFonts w:ascii="PT Astra Serif" w:hAnsi="PT Astra Serif" w:cs="Times New Roman"/>
          <w:b/>
          <w:sz w:val="28"/>
          <w:szCs w:val="28"/>
        </w:rPr>
        <w:t xml:space="preserve"> И ЧЛЕНАМ ИХ СЕМЕЙ</w:t>
      </w:r>
      <w:r>
        <w:rPr>
          <w:rFonts w:ascii="PT Astra Serif" w:hAnsi="PT Astra Serif" w:cs="Times New Roman"/>
          <w:b/>
          <w:sz w:val="28"/>
          <w:szCs w:val="28"/>
        </w:rPr>
      </w:r>
    </w:p>
    <w:tbl>
      <w:tblPr>
        <w:tblStyle w:val="683"/>
        <w:tblW w:w="15310" w:type="dxa"/>
        <w:tblInd w:w="-176" w:type="dxa"/>
        <w:tblLook w:val="04A0" w:firstRow="1" w:lastRow="0" w:firstColumn="1" w:lastColumn="0" w:noHBand="0" w:noVBand="1"/>
      </w:tblPr>
      <w:tblGrid>
        <w:gridCol w:w="8789"/>
        <w:gridCol w:w="6521"/>
      </w:tblGrid>
      <w:tr>
        <w:tblPrEx/>
        <w:trPr/>
        <w:tc>
          <w:tcPr>
            <w:tcW w:w="87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равовые акты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, которыми установлены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Региональные льготы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Налоговые льготы по транспортному налогу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1" w:tooltip="consultantplus://offline/ref=1EE389C0AF8615065B1E2472540ECC8A700EF6FA5D729F072EA2E16D4D64253412920D5D5DB45384714C6D4180u733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освобождаются от уплаты налога по одному транспортному средству, мощность двигателя которого не превышает 150 лошадиных сил (110,33 кВт) включительно.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2" w:tooltip="consultantplus://offline/ref=EDDF35E53AD3E6D94F461CE2F5582A0DD0639624D18203DF51DED4050904C0AE1E128A0465D50825B9EF200FD9E54E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уплачивают транспортный налог по одному транспортному средству, мощность двигателя которого не превышает 150 лошадиных сил (110,33 кВт), по ставке 50 процентов от размера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соответствующей ставки налога.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27.11.2002 № 63-РЗ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транспортном налоге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Право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следующих категорий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получение всех видо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рамках государственной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3" w:tooltip="consultantplus://offline/ref=DB357B178F0A84F0F26746C6CE32720557A4B1B4E3DFA5615A1813E55B07A5C4A043B2B95B6966416E79F7FB566F9583BE5CD59E78D8AD12iDyDH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пункте 6 статьи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Запорожской области и Херсонской области и (и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вторжения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также члены семей указанных лиц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17.12.2012 № 70-РЗ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оказании бесплатной юридической помощи в Удмуртской Республике» (в редакции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07.07.2023 № 67-РЗ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04.06.2024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земельных участков из земель, находящихся в государственной или муниципальной собственности, расположенных на территории Удмуртской Республики, для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собственность бесплатно для индивидуального жилищного строительства земельных участков из земель, находящихся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государственной или муниципальной собственности, расположенных на территории Удмуртской Республики</w:t>
            </w:r>
            <w:bookmarkStart w:id="0" w:name="Par0"/>
            <w:r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bookmarkStart w:id="1" w:name="Par2"/>
            <w:r/>
            <w:bookmarkEnd w:id="1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лицам, проходящим (проходившим) службу в войсках национальной гвардии Российской Федерации и имеющим специальные звания полиции, являющимся ветеранами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инвалидами боевых 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йствий,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удостоенным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звания Героя Российской Федерации или награжденным орденами Российской Федерации за заслуги, проявленные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ой области и Херсонской области, зарегистрированным на день завершения своего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Херсонской области на территории Удмуртской Республики по месту жительства, а при отсутствии такой регистрации – по месту пребывания, а так же одному из членов семьи указанных военнослужащих и лиц, поги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бших (умерших) вследствие увечья (ранения, травмы, контузии) или заболевания, полученных ими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области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Херсонской области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17.07.2023 № 68-РЗ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бесплатном предостав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поиске работы, а также содействие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безработных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социальной поддержки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(далее – Указ № 647)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заключивших по направлению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следующие дополнительные меры социальной поддержки: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поиске работы;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безработных членов семей, включая предоставление в ускоренном порядке единовременной финансовой помощи на открытие собственного дела;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членам семей в оформлении социальных и иных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плат, мер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25.11.2022 № 315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редоставляется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членам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их семей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период с даты заключения с военнослужащим контракта о прохождении военной службы в связи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призывом на военную службу по мобилизации в Вооруженные Силы Российской 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до прекращения действия указанного контракта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25.11.2022 № 316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Порядка освобождения граждан Российской Федерации, заключивших контракт о прохождении военной службы в связи с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в многоквартирном доме»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47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образования,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призванны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№ 647 или проходящи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заключенному в соответствии с пунктом 7 статьи 38 Федерального закона от 28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.03.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1998 № 53-ФЗ «О воинской обязанности и военной службе»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(далее – Федеральный закон № 53-ФЗ)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(законны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),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войска национально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родителям (законным представителям) в случае гибели (смерти) одного из родителей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законных представителей), призванного на военную службу по мобилизации в Вооруженные Силы Российской Федерации в соответствии с Указом № 647 или проходящего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53-ФЗ, либо заключившего контракт о добровольном содействии в выполнении задач, возложенных на Вооруженные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Силы Российской Федерации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16.02.2023 № 26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28.11.2023 № 299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31.05.2024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оциальны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форме социального обслуживания на дому, а также в полустационарной и стационарной форме социального обслуживания в социально-реабилитационном центре для граждан пожилого возраста и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бесплатно следующим категориям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признанным нуждающимися в 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силу заболевания, травмы, возраста или наличия инвалидности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или поступившим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членам семьи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 на военную службу по мобилизации или поступивших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на период прохождения военной службы по мобилизации или на период действия контракт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о добровольном содействии в выполнении задач, возложенных на Вооруженные Силы Российской Федерации,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29.06.2023 № 154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бесплатн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горяч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питани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я обучающим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ся в период их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обучения по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образовательным программам основного общего образования, образовательным программам среднего общего образования в государственных образовательных организациях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tabs>
                <w:tab w:val="left" w:pos="498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бесплатным горячим питанием обучающихся в период их обучения по образовательным прогр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аммам основного общего образования, образовательным программам среднего общего образования в государственных образовательных организациях Удмуртской Республики (один раз в учебный день) в случае гибели (смерти) одного из родителей (законных представителей)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(или) супруги (супруга) опекуна (попечителя) несовершеннолетнего обучающегося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Российской Федерации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УР от 23.09.2024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260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Указа Главы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353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Приостановление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исполнения обязательств по соглашениям о предоставлении грантов в форме субсидий из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продления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сроков достижения результатов предоставления грантов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601"/>
              <w:jc w:val="both"/>
              <w:tabs>
                <w:tab w:val="left" w:pos="563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по согласованию с Министерством экономики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28.07.2021 № 382 «Об утвер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ждении Порядка предоставления грантов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Удмуртской Республики от 20.09.2021 № 498, от 28.07.2022 № 394, от 26.12.2022 № 766, от 24.04.2023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262, от 12.07.2023 № 457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09.09.2024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476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Материальная помощь в размере 1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000 000 руб.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отдельным категориям граждан, оказавшимся в трудной жизненной ситуации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связи с гибелью (смертью) при выполнении специальных задач в ходе проведения специальной военной операции на территориях Украины, Донецкой Народной 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еспублики, Луганской Народной Республики, Запорожской области и Херсонской области (далее - специальная военная операция) либо смертью вследствие увечья (ранения, травмы, контузии), полученного при выполнении специальных задач в ходе проведения специальной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военной операции, членов их семей, являвшихся участниками специальной военной операции (далее соответственно - материал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ьная помощь, погибшие) из числа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лиц, проходящих службу в войсках национальной гвардии Российской Федерации и имеющих специальное звание полиции;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.09.2022 </w:t>
            </w:r>
            <w:hyperlink r:id="rId14" w:tooltip="consultantplus://offline/ref=4C9CAA8BDCDC7A8515C87DCBB6BBAD26F6877D07748E120F69876EF4578A057316F838865DFE06C7620A41B8F0F3F767C23B1D7F826FEDAC565041C1d9a6E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18.01.2024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03.07.2024 № 345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11.11.2024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spacing w:after="167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Материальная помощь в размере 500 000 руб.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имеющим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место жительства на территории Удмуртской Республики на день получения увечья (ранения, травмы, контузии)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проходящи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службу в войсках национальной гвардии Российской Федерации и имеющи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специальное звание полиции, принимавши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операции, получивши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увечье (ранение, травму, контузию) при выполнении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поступивши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созданные по решению органов государственной власти Российской Федерации добровольческие формирования, содействующи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выполнению задач, возложенных на Вооруженные Силы Российской Федерации, в ходе специальной военной операции, получивши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увечье (ранение, травму,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контузию) при выполнении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22.06.2022 № 323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оказания материальной помощи военнослужащим и отдельным ли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цам, получившим увечье (ранение, травму, контузию) при выполнении специальных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color w:val="392c6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14.09.2022 </w:t>
            </w:r>
            <w:hyperlink r:id="rId15" w:tooltip="consultantplus://offline/ref=8B3A21E1BB280D18F725E8E0EE37E51DBFA5BCCA90543704EBF94C8F1B0DC7F3BAE670A0A9D5B5059F5033AEFA0CC0A29EE5ED4403C504F710AC9468RAC0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01.09.2023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25.06.2024 № 323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Установлено, что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доходы и суммы единовременной матер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6" w:tooltip="consultantplus://offline/ref=6342A5A6EDF32DD749AFBB8E214EA05814B10C6720EAAD6C162DDFBA2E7A59CED01669A1E71CD81E390F1FA7E51CD7A0CADB2AF50FB3E063N9SE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не учитываются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при расчете среднедушевого дохода семьи и дохода одиноко проживающего гражданина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мер социальной поддержки: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оказание государственной социальной помощи на основании социального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контракта;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пособия на ребенка, установленного </w:t>
            </w:r>
            <w:hyperlink r:id="rId17" w:tooltip="consultantplus://offline/ref=E39DD02B735479FC85928699C97CDBCC8BC55D46FC8C50C67DE1C8CAB5FF50D8BA6614A7382EDA59B6F2A20438560A42C6j9i8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23.12.2004 № 89-РЗ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адресной социальной защите населения в Удмуртской Республике»;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ежемесячной денежной выплаты нуждающимся в поддержке семьям при рождении в семье третьего и последующих детей, установленной </w:t>
            </w:r>
            <w:hyperlink r:id="rId18" w:tooltip="consultantplus://offline/ref=99306EFB6D1C095A8B3032AF900EBCB930DADDCCE9575F37F5D6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21 ноября 2017 года № 368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ежемесячной денежной выплаты нуждающимся в поддержке семьям при рождении в семье после 31 декабря 2017 года третьего и последующих детей», </w:t>
            </w:r>
            <w:hyperlink r:id="rId19" w:tooltip="consultantplus://offline/ref=99306EFB6D1C095A8B3032AF900EBCB930DADDCCE9575334F9D7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от 5 февраля 2018 года № 26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предоставления ежемесячной денежной выплаты нуждающимся в поддержке семьям при рождении в семье третьего и последующих детей»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19.12.2022 № 72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Внеочередное оказание медицинской помощи в медицинских организациях, находящихся на территории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2024 год и на плановый период 2025 и 2026 годов имеют: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войны;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включая ветеранов боевых действий,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уволенным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публичной власти Донецкой Народной Республики, Луганской Народной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погибших (умерших) инвалидов войны и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29.12.2023 № 890 «О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субсидий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 покупку и установку газоиспользующего оборудования,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убсиди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покупку и установку газоиспользующего оборудования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Удмуртской Республике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размере планируемых затрат, но не более 100000 рублей, однократно в отношении одного домовладения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проживающих на территории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уртской Республики, в том числе,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участниками специальной военной операции, членами семей участников специальной военной операции, инвалидами боевых действий, ветеранами боевых действий, членами семей погибших (умерших) инвалидов боевых действий,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07.03.2024 № 110 «О предоставлении в 2024 году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06.08.2024 № 414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/>
            <w:bookmarkStart w:id="2" w:name="_GoBack"/>
            <w:r/>
            <w:bookmarkEnd w:id="2"/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тсрочк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уплаты арендных платежей по договорам аренды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расторжение договор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аренды без применения штрафных санкций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34" w:firstLine="709"/>
              <w:jc w:val="both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тсрочка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арендных платежей по договорам аренды имущества, находящегося в собственности Удмуртской Республики, договорам аренды земельных участков, находящихся в соб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ственности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возможность расторжения таких договоров аренды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 применения штрафных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санкций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арендаторам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являющимся физическими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том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числе индивидуальны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юридически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которых одно и то же физическое лицо является единственным учредителем (участником) юридического лица и его руководителем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если указанные физические лица,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проходят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заключили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распоряжения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28.02.2023 № 114-р)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предоставляются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указанного периода, но вследствие увечья (ранения, травмы, контузии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или заболевания, полученных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путевки (направления)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доставляются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первоочередном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аждан, пребывавших (пребывающих)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ситуации»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Министерства социальной политики и труда 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27.10.2022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10.06.2024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Организации медицинской помощи участникам специальной военной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«Центр психологической помощи участникам специальной военной операции и членам их семей» на функциональной основе на базе бюджетного учреждения здравоо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хранения Удмуртской Республики «Республиканский клинический центр психического здоровья Министерства здравоохранения Удмуртской Республики», обеспечена приоритетность при оказании медицинской помощи участникам специальной военной 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28.10.2022 № 1634 «Об организации медицинской помощи участникам специальной военной операции и членам их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платы, взимаемой с родителей (законных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освобождаются: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 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 родители (законные представители), призванные на военную службу по мобилизации в Вооруженные Силы Российской Федерации в соответствии с </w:t>
            </w:r>
            <w:hyperlink r:id="rId20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1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Вооруженные Силы Российской Федерации, а также второй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родители (законные представители), заключившие контракт о добровольном содействии в выполнении задач, возложенных на войска национальной гвардии Российской Федерации, а также второй родитель, близкий родственник ребенка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в 2024 году родители (законные представители), указанные в </w:t>
            </w:r>
            <w:hyperlink w:tooltip="#Par0" w:anchor="Par0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подпункт</w:t>
              </w:r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ах</w:t>
              </w:r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-2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родитель (законный представитель), близкий родственник ребенка в случае гибели (смерти) одного из родителей (законных представит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елей), указанных в подпунктах 1-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образования и науки Удмуртской Республики от 16.02.2023 № 241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обращения за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службу по контракту, заключенному в соответствии с пунктом 7 статьи 38 Федерального закона от 28 марта 1998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бюджетном общеобразовательном учреждении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Министерства образования и науки Удмуртской Республики от 18.01.2024 № 053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24.06.2024 № 856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11.11.2024 N 1682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 оказания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специализированной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медико-санитарной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помощи ветеранам войн.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Определить бюджетное учреждение здравоохранения Удмуртской Республики «К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онсультативно-диагностический центр Министерства здравоохранения Удмуртской Республики» (БУЗ УР «КДЦ МЗ Удмуртской Республики) определено медицинской организацией, оказывающей первичную специализированную медико-санитарную помощь ветеранам войн. Утвержден </w:t>
            </w:r>
            <w:hyperlink r:id="rId22" w:tooltip="https://login.consultant.ru/link/?req=doc&amp;base=RLAW053&amp;n=147469&amp;dst=100016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Порядок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направления участников боевых действий, ветеранов войн и приравненных к ним лиц в БУЗ УР «КДЦ МЗ Удмуртской Республики» с целью оказания консультативной помощи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19.05.2023 № 0797 «О совершенствовании оказания медицинской помощи участникам боевых действий, ветеранам войн и приравненным к ним лицам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ополнительн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горячее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питание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обучающимся в период их обучения по образовательным программам основного общего образования, образовательным программам среднего общего образования в государственных и муниципальных образовательных организациях Удмуртской Республики  пр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едоставляется в случае гибели (смерти) одного из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образования и науки Удмуртской Республики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30.09.2024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1364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Типового порядка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ия в образовательных организациях, расположенных на территории Удмуртской Республики,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содействии в выполнении задач, возложенных на Вооруженные Силы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 или войска национальной гвардии Российской Федерации, за предоставлением дополнительной меры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Министерства образования и науки Удмуртской Республики от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18.11.2024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1759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</w:tbl>
    <w:p>
      <w:r/>
    </w:p>
    <w:sectPr>
      <w:headerReference w:type="default" r:id="rId9"/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049234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51</w:t>
        </w:r>
        <w:r>
          <w:fldChar w:fldCharType="end"/>
        </w:r>
        <w:r/>
      </w:p>
    </w:sdtContent>
  </w:sdt>
  <w:p>
    <w:pPr>
      <w:pStyle w:val="6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4"/>
    <w:uiPriority w:val="99"/>
  </w:style>
  <w:style w:type="character" w:styleId="45">
    <w:name w:val="Footer Char"/>
    <w:basedOn w:val="680"/>
    <w:link w:val="686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4">
    <w:name w:val="Header"/>
    <w:basedOn w:val="679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80"/>
    <w:link w:val="684"/>
    <w:uiPriority w:val="99"/>
  </w:style>
  <w:style w:type="paragraph" w:styleId="686">
    <w:name w:val="Footer"/>
    <w:basedOn w:val="679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80"/>
    <w:link w:val="686"/>
    <w:uiPriority w:val="99"/>
  </w:style>
  <w:style w:type="paragraph" w:styleId="688">
    <w:name w:val="Balloon Text"/>
    <w:basedOn w:val="679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Текст выноски Знак"/>
    <w:basedOn w:val="680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No Spacing"/>
    <w:uiPriority w:val="1"/>
    <w:qFormat/>
    <w:pPr>
      <w:spacing w:after="0" w:line="240" w:lineRule="auto"/>
    </w:pPr>
  </w:style>
  <w:style w:type="character" w:styleId="691">
    <w:name w:val="Hyperlink"/>
    <w:basedOn w:val="680"/>
    <w:uiPriority w:val="99"/>
    <w:semiHidden/>
    <w:unhideWhenUsed/>
    <w:rPr>
      <w:color w:val="0000ff" w:themeColor="hyperlink"/>
      <w:u w:val="single"/>
    </w:rPr>
  </w:style>
  <w:style w:type="paragraph" w:styleId="692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EE389C0AF8615065B1E2472540ECC8A700EF6FA5D729F072EA2E16D4D64253412920D5D5DB45384714C6D4180u733I" TargetMode="External"/><Relationship Id="rId12" Type="http://schemas.openxmlformats.org/officeDocument/2006/relationships/hyperlink" Target="consultantplus://offline/ref=EDDF35E53AD3E6D94F461CE2F5582A0DD0639624D18203DF51DED4050904C0AE1E128A0465D50825B9EF200FD9E54EI" TargetMode="External"/><Relationship Id="rId13" Type="http://schemas.openxmlformats.org/officeDocument/2006/relationships/hyperlink" Target="consultantplus://offline/ref=DB357B178F0A84F0F26746C6CE32720557A4B1B4E3DFA5615A1813E55B07A5C4A043B2B95B6966416E79F7FB566F9583BE5CD59E78D8AD12iDyDH" TargetMode="External"/><Relationship Id="rId14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15" Type="http://schemas.openxmlformats.org/officeDocument/2006/relationships/hyperlink" Target="consultantplus://offline/ref=8B3A21E1BB280D18F725E8E0EE37E51DBFA5BCCA90543704EBF94C8F1B0DC7F3BAE670A0A9D5B5059F5033AEFA0CC0A29EE5ED4403C504F710AC9468RAC0F" TargetMode="External"/><Relationship Id="rId16" Type="http://schemas.openxmlformats.org/officeDocument/2006/relationships/hyperlink" Target="consultantplus://offline/ref=6342A5A6EDF32DD749AFBB8E214EA05814B10C6720EAAD6C162DDFBA2E7A59CED01669A1E71CD81E390F1FA7E51CD7A0CADB2AF50FB3E063N9SEF" TargetMode="External"/><Relationship Id="rId17" Type="http://schemas.openxmlformats.org/officeDocument/2006/relationships/hyperlink" Target="consultantplus://offline/ref=E39DD02B735479FC85928699C97CDBCC8BC55D46FC8C50C67DE1C8CAB5FF50D8BA6614A7382EDA59B6F2A20438560A42C6j9i8F" TargetMode="External"/><Relationship Id="rId18" Type="http://schemas.openxmlformats.org/officeDocument/2006/relationships/hyperlink" Target="consultantplus://offline/ref=99306EFB6D1C095A8B3032AF900EBCB930DADDCCE9575F37F5D684EE9B26658D7921B115224A0CF6B4833A6CF67EC03239N4mCF" TargetMode="External"/><Relationship Id="rId19" Type="http://schemas.openxmlformats.org/officeDocument/2006/relationships/hyperlink" Target="consultantplus://offline/ref=99306EFB6D1C095A8B3032AF900EBCB930DADDCCE9575334F9D784EE9B26658D7921B115224A0CF6B4833A6CF67EC03239N4mCF" TargetMode="External"/><Relationship Id="rId20" Type="http://schemas.openxmlformats.org/officeDocument/2006/relationships/hyperlink" Target="https://login.consultant.ru/link/?req=doc&amp;base=LAW&amp;n=426999" TargetMode="External"/><Relationship Id="rId21" Type="http://schemas.openxmlformats.org/officeDocument/2006/relationships/hyperlink" Target="https://login.consultant.ru/link/?req=doc&amp;base=LAW&amp;n=472846&amp;dst=1187" TargetMode="External"/><Relationship Id="rId22" Type="http://schemas.openxmlformats.org/officeDocument/2006/relationships/hyperlink" Target="https://login.consultant.ru/link/?req=doc&amp;base=RLAW053&amp;n=14746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9159-561F-4BDF-B199-9619F90A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semibratova</cp:lastModifiedBy>
  <cp:revision>52</cp:revision>
  <dcterms:created xsi:type="dcterms:W3CDTF">2024-04-09T06:01:00Z</dcterms:created>
  <dcterms:modified xsi:type="dcterms:W3CDTF">2025-01-13T06:14:39Z</dcterms:modified>
</cp:coreProperties>
</file>